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sz w:val="44"/>
          <w:szCs w:val="44"/>
          <w:rtl w:val="0"/>
        </w:rPr>
        <w:t xml:space="preserve">Geschil: argumenten brief 16/17 en het verweerschrift</w:t>
      </w:r>
      <w:r w:rsidDel="00000000" w:rsidR="00000000" w:rsidRPr="00000000">
        <w:rPr>
          <w:rtl w:val="0"/>
        </w:rPr>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17-10-2017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Ja</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Commissie Geschil</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Ja</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Op 10 oktober behandelden wij het verweerschrift voor het eerst beeldvormend. </w:t>
      </w:r>
      <w:r w:rsidDel="00000000" w:rsidR="00000000" w:rsidRPr="00000000">
        <w:rPr>
          <w:rtl w:val="0"/>
        </w:rPr>
        <w:t xml:space="preserve">Het vorige PV-stuk werd geschreven met als doel om te beslissen of wij nog een adstructie (aanvulling/verduidelijking op de aanvraag) naar de geschillencommissie willen versturen. Omdat bij de meeste mensen de brief van 16/17 niet meer helemaal vers in het geheugen lag, werd voorgesteld om de argumenten van zowel de brief van 16/17 als het verweerschrift van de decaan nog een keer op een rijtje te zetten.</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hoorzitting is inmiddels gepland op donderdag 9 november, wat betekent dat de geschillencommissie een eventuele adstructie moet hebben ontvangen voor maandag 30 oktober.    </w:t>
      </w:r>
    </w:p>
    <w:p w:rsidR="00000000" w:rsidDel="00000000" w:rsidP="00000000" w:rsidRDefault="00000000" w:rsidRPr="00000000" w14:paraId="0000000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4tjz1z4n82k" w:id="2"/>
      <w:bookmarkEnd w:id="2"/>
      <w:r w:rsidDel="00000000" w:rsidR="00000000" w:rsidRPr="00000000">
        <w:rPr>
          <w:rtl w:val="0"/>
        </w:rPr>
        <w:t xml:space="preserve">Status</w:t>
      </w:r>
    </w:p>
    <w:p w:rsidR="00000000" w:rsidDel="00000000" w:rsidP="00000000" w:rsidRDefault="00000000" w:rsidRPr="00000000" w14:paraId="0000000A">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Uit het verweerschrift volgt dat de decaan een andere interpretatie heeft van “de wijze van samenstellen” dan die van de raad 16/17. In het verweerschrift is er een uitgebreide argumentatie voor deze interpretatie, waar de brief van de raad 16/17 vrij kort en bondig is. Het is mogelijk dat door een adstructie te sturen waarin wij de interpretatie van de raad verder uiteenzetten, we meer kans maken om het geschil te winnen. Voor de volledigheid worden alle argumenten uit de brief en uit het verweerschrift behandeld. </w:t>
      </w:r>
    </w:p>
    <w:p w:rsidR="00000000" w:rsidDel="00000000" w:rsidP="00000000" w:rsidRDefault="00000000" w:rsidRPr="00000000" w14:paraId="0000000B">
      <w:pPr>
        <w:pageBreakBefore w:val="0"/>
        <w:rPr/>
      </w:pPr>
      <w:r w:rsidDel="00000000" w:rsidR="00000000" w:rsidRPr="00000000">
        <w:rPr>
          <w:rtl w:val="0"/>
        </w:rPr>
        <w:t xml:space="preserve">Legenda argumentatieschema:</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*.1, .2 etc = onderliggend argument</w:t>
      </w:r>
    </w:p>
    <w:p w:rsidR="00000000" w:rsidDel="00000000" w:rsidP="00000000" w:rsidRDefault="00000000" w:rsidRPr="00000000" w14:paraId="0000000E">
      <w:pPr>
        <w:pageBreakBefore w:val="0"/>
        <w:widowControl w:val="0"/>
        <w:spacing w:line="240" w:lineRule="auto"/>
        <w:rPr/>
      </w:pPr>
      <w:r w:rsidDel="00000000" w:rsidR="00000000" w:rsidRPr="00000000">
        <w:rPr>
          <w:b w:val="1"/>
          <w:color w:val="6aa84f"/>
          <w:rtl w:val="0"/>
        </w:rPr>
        <w:t xml:space="preserve">W </w:t>
      </w:r>
      <w:r w:rsidDel="00000000" w:rsidR="00000000" w:rsidRPr="00000000">
        <w:rPr>
          <w:rtl w:val="0"/>
        </w:rPr>
        <w:t xml:space="preserve">= Staat zo goed als letterlijk in de wet</w:t>
      </w:r>
    </w:p>
    <w:p w:rsidR="00000000" w:rsidDel="00000000" w:rsidP="00000000" w:rsidRDefault="00000000" w:rsidRPr="00000000" w14:paraId="0000000F">
      <w:pPr>
        <w:pageBreakBefore w:val="0"/>
        <w:widowControl w:val="0"/>
        <w:spacing w:line="240" w:lineRule="auto"/>
        <w:rPr/>
      </w:pPr>
      <w:r w:rsidDel="00000000" w:rsidR="00000000" w:rsidRPr="00000000">
        <w:rPr>
          <w:b w:val="1"/>
          <w:color w:val="9900ff"/>
          <w:rtl w:val="0"/>
        </w:rPr>
        <w:t xml:space="preserve">I </w:t>
      </w:r>
      <w:r w:rsidDel="00000000" w:rsidR="00000000" w:rsidRPr="00000000">
        <w:rPr>
          <w:rtl w:val="0"/>
        </w:rPr>
        <w:t xml:space="preserve">= Interpretatie raad 16/17</w:t>
      </w:r>
    </w:p>
    <w:p w:rsidR="00000000" w:rsidDel="00000000" w:rsidP="00000000" w:rsidRDefault="00000000" w:rsidRPr="00000000" w14:paraId="00000010">
      <w:pPr>
        <w:pageBreakBefore w:val="0"/>
        <w:widowControl w:val="0"/>
        <w:spacing w:line="240" w:lineRule="auto"/>
        <w:rPr/>
      </w:pPr>
      <w:r w:rsidDel="00000000" w:rsidR="00000000" w:rsidRPr="00000000">
        <w:rPr>
          <w:b w:val="1"/>
          <w:color w:val="0000ff"/>
          <w:rtl w:val="0"/>
        </w:rPr>
        <w:t xml:space="preserve">I </w:t>
      </w:r>
      <w:r w:rsidDel="00000000" w:rsidR="00000000" w:rsidRPr="00000000">
        <w:rPr>
          <w:rtl w:val="0"/>
        </w:rPr>
        <w:t xml:space="preserve">= Interpretatie decaan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tbl>
      <w:tblPr>
        <w:tblStyle w:val="Table1"/>
        <w:tblW w:w="79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55"/>
        <w:gridCol w:w="3165"/>
        <w:gridCol w:w="3300"/>
        <w:tblGridChange w:id="0">
          <w:tblGrid>
            <w:gridCol w:w="1455"/>
            <w:gridCol w:w="3165"/>
            <w:gridCol w:w="33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Brief 16/17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Verweerschrift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Stelling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 raad heeft instemmingsrecht op de “Procedure voor de werving</w:t>
            </w:r>
            <w:r w:rsidDel="00000000" w:rsidR="00000000" w:rsidRPr="00000000">
              <w:rPr>
                <w:rtl w:val="0"/>
              </w:rPr>
              <w:t xml:space="preserve">...</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Haha gekkies, de raad heeft niet eens echt adviesrecht op dit document.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Argument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w:t>
            </w:r>
            <w:r w:rsidDel="00000000" w:rsidR="00000000" w:rsidRPr="00000000">
              <w:rPr>
                <w:rtl w:val="0"/>
              </w:rPr>
              <w:t xml:space="preserve">De FSR heeft instemmingsrecht op het FR (</w:t>
            </w:r>
            <w:r w:rsidDel="00000000" w:rsidR="00000000" w:rsidRPr="00000000">
              <w:rPr>
                <w:b w:val="1"/>
                <w:color w:val="6aa84f"/>
                <w:rtl w:val="0"/>
              </w:rPr>
              <w:t xml:space="preserve">W</w:t>
            </w:r>
            <w:r w:rsidDel="00000000" w:rsidR="00000000" w:rsidRPr="00000000">
              <w:rPr>
                <w:rtl w:val="0"/>
              </w:rPr>
              <w:t xml:space="preserve">)</w:t>
            </w:r>
            <w:r w:rsidDel="00000000" w:rsidR="00000000" w:rsidRPr="00000000">
              <w:rPr>
                <w:rtl w:val="0"/>
              </w:rPr>
              <w:t xml:space="preserv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De “wijze van samenstelling” moet worden vastgelegd in het FR (</w:t>
            </w:r>
            <w:r w:rsidDel="00000000" w:rsidR="00000000" w:rsidRPr="00000000">
              <w:rPr>
                <w:b w:val="1"/>
                <w:color w:val="6aa84f"/>
                <w:rtl w:val="0"/>
              </w:rPr>
              <w:t xml:space="preserve">W</w:t>
            </w:r>
            <w:r w:rsidDel="00000000" w:rsidR="00000000" w:rsidRPr="00000000">
              <w:rPr>
                <w:rtl w:val="0"/>
              </w:rPr>
              <w:t xml:space="preserve">). </w:t>
            </w:r>
            <w:r w:rsidDel="00000000" w:rsidR="00000000" w:rsidRPr="00000000">
              <w:rPr>
                <w:rtl w:val="0"/>
              </w:rPr>
              <w:t xml:space="preserv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 Instemmingsrecht is omzeild door de “wijze van samenstelling” in een bijlage te zetten (</w:t>
            </w:r>
            <w:r w:rsidDel="00000000" w:rsidR="00000000" w:rsidRPr="00000000">
              <w:rPr>
                <w:b w:val="1"/>
                <w:color w:val="9900ff"/>
                <w:rtl w:val="0"/>
              </w:rPr>
              <w:t xml:space="preserve">I</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t xml:space="preserve">De “wijze van samenstelling” en de praktische uitvoering zijn twee verschillende dingen. De “wijze van samenstelling” staat gewoon in het FR, de praktische uitvoering staat in de bijlage “Procedure voor de werving...” (</w:t>
            </w:r>
            <w:r w:rsidDel="00000000" w:rsidR="00000000" w:rsidRPr="00000000">
              <w:rPr>
                <w:b w:val="1"/>
                <w:color w:val="0000ff"/>
                <w:rtl w:val="0"/>
              </w:rPr>
              <w:t xml:space="preserve">I</w:t>
            </w:r>
            <w:r w:rsidDel="00000000" w:rsidR="00000000" w:rsidRPr="00000000">
              <w:rPr>
                <w:rtl w:val="0"/>
              </w:rPr>
              <w:t xml:space="preserve">).</w:t>
            </w:r>
            <w:r w:rsidDel="00000000" w:rsidR="00000000" w:rsidRPr="00000000">
              <w:rPr>
                <w:b w:val="1"/>
                <w:rtl w:val="0"/>
              </w:rPr>
              <w:t xml:space="preserv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(Volgt uit </w:t>
            </w:r>
            <w:r w:rsidDel="00000000" w:rsidR="00000000" w:rsidRPr="00000000">
              <w:rPr>
                <w:b w:val="1"/>
                <w:color w:val="0000ff"/>
                <w:rtl w:val="0"/>
              </w:rPr>
              <w:t xml:space="preserve">I</w:t>
            </w:r>
            <w:r w:rsidDel="00000000" w:rsidR="00000000" w:rsidRPr="00000000">
              <w:rPr>
                <w:rtl w:val="0"/>
              </w:rPr>
              <w:t xml:space="preserve">) De FSR is wel degelijk om instemming gevraagd over de “wijze van samenstelling”.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Argument 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Instemmingsrecht is de intentie van het wetsvoorstel geweest, omdat de “wijze van samenstelling” anders niet zou moeten hoeven worden vastgelegd in het FR (</w:t>
            </w:r>
            <w:r w:rsidDel="00000000" w:rsidR="00000000" w:rsidRPr="00000000">
              <w:rPr>
                <w:b w:val="1"/>
                <w:color w:val="9900ff"/>
                <w:rtl w:val="0"/>
              </w:rPr>
              <w:t xml:space="preserve">I</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Argument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“Een andere wijze van samenstelling” … kan worden vastgelegd … in overleg tussen de decaan en de faculteitsraad (</w:t>
            </w:r>
            <w:r w:rsidDel="00000000" w:rsidR="00000000" w:rsidRPr="00000000">
              <w:rPr>
                <w:b w:val="1"/>
                <w:color w:val="6aa84f"/>
                <w:rtl w:val="0"/>
              </w:rPr>
              <w:t xml:space="preserve">W</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Argument 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Adviesrecht doet geen recht aan “in overleg” (</w:t>
            </w:r>
            <w:r w:rsidDel="00000000" w:rsidR="00000000" w:rsidRPr="00000000">
              <w:rPr>
                <w:b w:val="1"/>
                <w:color w:val="9900ff"/>
                <w:rtl w:val="0"/>
              </w:rPr>
              <w:t xml:space="preserve">I</w:t>
            </w: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Er is instemmingsrecht gevraagd (</w:t>
            </w:r>
            <w:r w:rsidDel="00000000" w:rsidR="00000000" w:rsidRPr="00000000">
              <w:rPr>
                <w:b w:val="1"/>
                <w:color w:val="0000ff"/>
                <w:rtl w:val="0"/>
              </w:rPr>
              <w:t xml:space="preserve">I</w:t>
            </w:r>
            <w:r w:rsidDel="00000000" w:rsidR="00000000" w:rsidRPr="00000000">
              <w:rPr>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Argument 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pageBreakBefore w:val="0"/>
              <w:widowControl w:val="0"/>
              <w:spacing w:line="240" w:lineRule="auto"/>
              <w:rPr/>
            </w:pPr>
            <w:r w:rsidDel="00000000" w:rsidR="00000000" w:rsidRPr="00000000">
              <w:rPr>
                <w:rtl w:val="0"/>
              </w:rPr>
              <w:t xml:space="preserve">“In overleg” insinueert een symmetrische machtsverhouding (</w:t>
            </w:r>
            <w:r w:rsidDel="00000000" w:rsidR="00000000" w:rsidRPr="00000000">
              <w:rPr>
                <w:b w:val="1"/>
                <w:color w:val="9900ff"/>
                <w:rtl w:val="0"/>
              </w:rPr>
              <w:t xml:space="preserve">I</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Er is geen sprake van een symmetrische machtsverhouding tussen zeggenschap en medezeggenschap (</w:t>
            </w:r>
            <w:r w:rsidDel="00000000" w:rsidR="00000000" w:rsidRPr="00000000">
              <w:rPr>
                <w:b w:val="1"/>
                <w:color w:val="0000ff"/>
                <w:rtl w:val="0"/>
              </w:rPr>
              <w:t xml:space="preserve">I</w:t>
            </w:r>
            <w:r w:rsidDel="00000000" w:rsidR="00000000" w:rsidRPr="00000000">
              <w:rPr>
                <w:rtl w:val="0"/>
              </w:rPr>
              <w:t xml:space="preserv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Paar drogredenen voor de lol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pageBreakBefore w:val="0"/>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 Instemming op alle uitvoeringsdetails zou tot een onwerkbare situatie leiden.</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 Er is instemming van zowel de OR als de FSR nodig.</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 De OR heeft ook al ingestemd zonder te zeuren over instemmingsrecht op de bijlage.</w:t>
            </w:r>
          </w:p>
        </w:tc>
      </w:tr>
    </w:tbl>
    <w:p w:rsidR="00000000" w:rsidDel="00000000" w:rsidP="00000000" w:rsidRDefault="00000000" w:rsidRPr="00000000" w14:paraId="00000039">
      <w:pPr>
        <w:pStyle w:val="Heading1"/>
        <w:pageBreakBefore w:val="0"/>
        <w:rPr/>
      </w:pPr>
      <w:bookmarkStart w:colFirst="0" w:colLast="0" w:name="_zba57d2hhrhg" w:id="3"/>
      <w:bookmarkEnd w:id="3"/>
      <w:r w:rsidDel="00000000" w:rsidR="00000000" w:rsidRPr="00000000">
        <w:rPr>
          <w:rtl w:val="0"/>
        </w:rPr>
        <w:t xml:space="preserve">Mogelijkheden </w:t>
      </w:r>
    </w:p>
    <w:p w:rsidR="00000000" w:rsidDel="00000000" w:rsidP="00000000" w:rsidRDefault="00000000" w:rsidRPr="00000000" w14:paraId="0000003A">
      <w:pPr>
        <w:pageBreakBefore w:val="0"/>
        <w:numPr>
          <w:ilvl w:val="0"/>
          <w:numId w:val="4"/>
        </w:numPr>
        <w:ind w:left="720" w:hanging="360"/>
        <w:rPr>
          <w:u w:val="none"/>
        </w:rPr>
      </w:pPr>
      <w:r w:rsidDel="00000000" w:rsidR="00000000" w:rsidRPr="00000000">
        <w:rPr>
          <w:rtl w:val="0"/>
        </w:rPr>
        <w:t xml:space="preserve">We schrijven een adstructie waarin wij onze interpretatie van “wijze van samenstelling” verder uiteen zetten. </w:t>
      </w:r>
    </w:p>
    <w:p w:rsidR="00000000" w:rsidDel="00000000" w:rsidP="00000000" w:rsidRDefault="00000000" w:rsidRPr="00000000" w14:paraId="0000003B">
      <w:pPr>
        <w:pageBreakBefore w:val="0"/>
        <w:numPr>
          <w:ilvl w:val="0"/>
          <w:numId w:val="4"/>
        </w:numPr>
        <w:ind w:left="720" w:hanging="360"/>
        <w:rPr>
          <w:u w:val="none"/>
        </w:rPr>
      </w:pPr>
      <w:r w:rsidDel="00000000" w:rsidR="00000000" w:rsidRPr="00000000">
        <w:rPr>
          <w:rtl w:val="0"/>
        </w:rPr>
        <w:t xml:space="preserve">We schrijven een adstructie, maar kiezen een andere invalshoek. </w:t>
      </w:r>
    </w:p>
    <w:p w:rsidR="00000000" w:rsidDel="00000000" w:rsidP="00000000" w:rsidRDefault="00000000" w:rsidRPr="00000000" w14:paraId="0000003C">
      <w:pPr>
        <w:pageBreakBefore w:val="0"/>
        <w:numPr>
          <w:ilvl w:val="0"/>
          <w:numId w:val="4"/>
        </w:numPr>
        <w:ind w:left="720" w:hanging="360"/>
        <w:rPr>
          <w:u w:val="none"/>
        </w:rPr>
      </w:pPr>
      <w:r w:rsidDel="00000000" w:rsidR="00000000" w:rsidRPr="00000000">
        <w:rPr>
          <w:rtl w:val="0"/>
        </w:rPr>
        <w:t xml:space="preserve">We schrijven geen adstructie en wachten de hoorzitting af. </w:t>
      </w:r>
    </w:p>
    <w:p w:rsidR="00000000" w:rsidDel="00000000" w:rsidP="00000000" w:rsidRDefault="00000000" w:rsidRPr="00000000" w14:paraId="0000003D">
      <w:pPr>
        <w:pStyle w:val="Heading1"/>
        <w:pageBreakBefore w:val="0"/>
        <w:rPr/>
      </w:pPr>
      <w:bookmarkStart w:colFirst="0" w:colLast="0" w:name="_2vioe2ptpzte" w:id="4"/>
      <w:bookmarkEnd w:id="4"/>
      <w:r w:rsidDel="00000000" w:rsidR="00000000" w:rsidRPr="00000000">
        <w:rPr>
          <w:rtl w:val="0"/>
        </w:rPr>
        <w:t xml:space="preserve">Tijdspad (voorstel)</w:t>
      </w:r>
    </w:p>
    <w:p w:rsidR="00000000" w:rsidDel="00000000" w:rsidP="00000000" w:rsidRDefault="00000000" w:rsidRPr="00000000" w14:paraId="0000003E">
      <w:pPr>
        <w:pageBreakBefore w:val="0"/>
        <w:numPr>
          <w:ilvl w:val="0"/>
          <w:numId w:val="3"/>
        </w:numPr>
        <w:ind w:left="720" w:hanging="360"/>
        <w:rPr>
          <w:u w:val="none"/>
        </w:rPr>
      </w:pPr>
      <w:r w:rsidDel="00000000" w:rsidR="00000000" w:rsidRPr="00000000">
        <w:rPr>
          <w:rtl w:val="0"/>
        </w:rPr>
        <w:t xml:space="preserve">13 oktober: PV, Beeldvormend stuk</w:t>
      </w:r>
    </w:p>
    <w:p w:rsidR="00000000" w:rsidDel="00000000" w:rsidP="00000000" w:rsidRDefault="00000000" w:rsidRPr="00000000" w14:paraId="0000003F">
      <w:pPr>
        <w:pageBreakBefore w:val="0"/>
        <w:numPr>
          <w:ilvl w:val="0"/>
          <w:numId w:val="3"/>
        </w:numPr>
        <w:ind w:left="720" w:hanging="360"/>
        <w:rPr>
          <w:u w:val="none"/>
        </w:rPr>
      </w:pPr>
      <w:r w:rsidDel="00000000" w:rsidR="00000000" w:rsidRPr="00000000">
        <w:rPr>
          <w:rtl w:val="0"/>
        </w:rPr>
        <w:t xml:space="preserve">24 oktober: PV, Oordeelvormend/Besluitvormend stuk</w:t>
      </w:r>
    </w:p>
    <w:p w:rsidR="00000000" w:rsidDel="00000000" w:rsidP="00000000" w:rsidRDefault="00000000" w:rsidRPr="00000000" w14:paraId="00000040">
      <w:pPr>
        <w:pageBreakBefore w:val="0"/>
        <w:ind w:left="1440" w:firstLine="720"/>
        <w:rPr/>
      </w:pPr>
      <w:r w:rsidDel="00000000" w:rsidR="00000000" w:rsidRPr="00000000">
        <w:rPr>
          <w:rtl w:val="0"/>
        </w:rPr>
        <w:t xml:space="preserve">conceptbrief adstructie </w:t>
      </w:r>
    </w:p>
    <w:p w:rsidR="00000000" w:rsidDel="00000000" w:rsidP="00000000" w:rsidRDefault="00000000" w:rsidRPr="00000000" w14:paraId="00000041">
      <w:pPr>
        <w:pageBreakBefore w:val="0"/>
        <w:numPr>
          <w:ilvl w:val="0"/>
          <w:numId w:val="3"/>
        </w:numPr>
        <w:ind w:left="720" w:hanging="360"/>
        <w:rPr>
          <w:u w:val="none"/>
        </w:rPr>
      </w:pPr>
      <w:r w:rsidDel="00000000" w:rsidR="00000000" w:rsidRPr="00000000">
        <w:rPr>
          <w:rtl w:val="0"/>
        </w:rPr>
        <w:t xml:space="preserve">30 oktober: Geschillencommissie moet adstructie hebben ontvangen</w:t>
      </w:r>
    </w:p>
    <w:p w:rsidR="00000000" w:rsidDel="00000000" w:rsidP="00000000" w:rsidRDefault="00000000" w:rsidRPr="00000000" w14:paraId="00000042">
      <w:pPr>
        <w:pageBreakBefore w:val="0"/>
        <w:numPr>
          <w:ilvl w:val="0"/>
          <w:numId w:val="3"/>
        </w:numPr>
        <w:ind w:left="720" w:hanging="360"/>
        <w:rPr>
          <w:u w:val="none"/>
        </w:rPr>
      </w:pPr>
      <w:r w:rsidDel="00000000" w:rsidR="00000000" w:rsidRPr="00000000">
        <w:rPr>
          <w:rtl w:val="0"/>
        </w:rPr>
        <w:t xml:space="preserve">8 november: Hoorzitting </w:t>
      </w:r>
      <w:r w:rsidDel="00000000" w:rsidR="00000000" w:rsidRPr="00000000">
        <w:rPr>
          <w:rtl w:val="0"/>
        </w:rPr>
      </w:r>
    </w:p>
    <w:p w:rsidR="00000000" w:rsidDel="00000000" w:rsidP="00000000" w:rsidRDefault="00000000" w:rsidRPr="00000000" w14:paraId="00000043">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5"/>
      <w:bookmarkEnd w:id="5"/>
      <w:r w:rsidDel="00000000" w:rsidR="00000000" w:rsidRPr="00000000">
        <w:rPr>
          <w:rtl w:val="0"/>
        </w:rPr>
        <w:t xml:space="preserve">Discussiepunten</w:t>
      </w:r>
    </w:p>
    <w:p w:rsidR="00000000" w:rsidDel="00000000" w:rsidP="00000000" w:rsidRDefault="00000000" w:rsidRPr="00000000" w14:paraId="00000044">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PV-stuk duidelijk?</w:t>
      </w:r>
    </w:p>
    <w:p w:rsidR="00000000" w:rsidDel="00000000" w:rsidP="00000000" w:rsidRDefault="00000000" w:rsidRPr="00000000" w14:paraId="00000045">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Is de argumentatie van beide partijen duidelijk?</w:t>
      </w:r>
    </w:p>
    <w:p w:rsidR="00000000" w:rsidDel="00000000" w:rsidP="00000000" w:rsidRDefault="00000000" w:rsidRPr="00000000" w14:paraId="00000046">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de mogelijkheden duidelijk? </w:t>
      </w:r>
    </w:p>
    <w:p w:rsidR="00000000" w:rsidDel="00000000" w:rsidP="00000000" w:rsidRDefault="00000000" w:rsidRPr="00000000" w14:paraId="00000047">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aanvullingen op de argumentatie?  </w:t>
      </w:r>
    </w:p>
    <w:p w:rsidR="00000000" w:rsidDel="00000000" w:rsidP="00000000" w:rsidRDefault="00000000" w:rsidRPr="00000000" w14:paraId="00000048">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aanvullingen op de mogelijkheden?</w:t>
      </w:r>
    </w:p>
    <w:p w:rsidR="00000000" w:rsidDel="00000000" w:rsidP="00000000" w:rsidRDefault="00000000" w:rsidRPr="00000000" w14:paraId="00000049">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alternatieven voor het tijdspad?</w:t>
      </w:r>
      <w:r w:rsidDel="00000000" w:rsidR="00000000" w:rsidRPr="00000000">
        <w:rPr>
          <w:rtl w:val="0"/>
        </w:rPr>
      </w:r>
    </w:p>
    <w:p w:rsidR="00000000" w:rsidDel="00000000" w:rsidP="00000000" w:rsidRDefault="00000000" w:rsidRPr="00000000" w14:paraId="0000004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6"/>
      <w:bookmarkEnd w:id="6"/>
      <w:r w:rsidDel="00000000" w:rsidR="00000000" w:rsidRPr="00000000">
        <w:rPr>
          <w:rtl w:val="0"/>
        </w:rPr>
        <w:t xml:space="preserve">Doelen</w:t>
      </w:r>
    </w:p>
    <w:p w:rsidR="00000000" w:rsidDel="00000000" w:rsidP="00000000" w:rsidRDefault="00000000" w:rsidRPr="00000000" w14:paraId="0000004B">
      <w:pPr>
        <w:pageBreakBefore w:val="0"/>
        <w:numPr>
          <w:ilvl w:val="0"/>
          <w:numId w:val="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de argumentatie van de raad 16/17 </w:t>
      </w:r>
    </w:p>
    <w:p w:rsidR="00000000" w:rsidDel="00000000" w:rsidP="00000000" w:rsidRDefault="00000000" w:rsidRPr="00000000" w14:paraId="0000004C">
      <w:pPr>
        <w:pageBreakBefore w:val="0"/>
        <w:numPr>
          <w:ilvl w:val="0"/>
          <w:numId w:val="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de argumentatie van de decaan </w:t>
      </w:r>
    </w:p>
    <w:p w:rsidR="00000000" w:rsidDel="00000000" w:rsidP="00000000" w:rsidRDefault="00000000" w:rsidRPr="00000000" w14:paraId="0000004D">
      <w:pPr>
        <w:pageBreakBefore w:val="0"/>
        <w:numPr>
          <w:ilvl w:val="0"/>
          <w:numId w:val="5"/>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Mogelijke vervolgstappen in kaart brengen</w:t>
      </w:r>
    </w:p>
    <w:p w:rsidR="00000000" w:rsidDel="00000000" w:rsidP="00000000" w:rsidRDefault="00000000" w:rsidRPr="00000000" w14:paraId="0000004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7"/>
      <w:bookmarkEnd w:id="7"/>
      <w:r w:rsidDel="00000000" w:rsidR="00000000" w:rsidRPr="00000000">
        <w:rPr>
          <w:rtl w:val="0"/>
        </w:rPr>
        <w:t xml:space="preserve">Vervolgacties</w:t>
      </w:r>
    </w:p>
    <w:p w:rsidR="00000000" w:rsidDel="00000000" w:rsidP="00000000" w:rsidRDefault="00000000" w:rsidRPr="00000000" w14:paraId="0000004F">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Een oordeel vormen</w:t>
      </w:r>
    </w:p>
    <w:p w:rsidR="00000000" w:rsidDel="00000000" w:rsidP="00000000" w:rsidRDefault="00000000" w:rsidRPr="00000000" w14:paraId="00000050">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Een conceptbrief voor de adstructie opstellen </w:t>
      </w:r>
    </w:p>
    <w:p w:rsidR="00000000" w:rsidDel="00000000" w:rsidP="00000000" w:rsidRDefault="00000000" w:rsidRPr="00000000" w14:paraId="00000051">
      <w:pPr>
        <w:pStyle w:val="Heading1"/>
        <w:pageBreakBefore w:val="0"/>
        <w:rPr/>
      </w:pPr>
      <w:bookmarkStart w:colFirst="0" w:colLast="0" w:name="_rbzoc6n0xsbh" w:id="8"/>
      <w:bookmarkEnd w:id="8"/>
      <w:r w:rsidDel="00000000" w:rsidR="00000000" w:rsidRPr="00000000">
        <w:rPr>
          <w:rtl w:val="0"/>
        </w:rPr>
        <w:t xml:space="preserve">Bonus: beelden van mij tijdens het schrijven van dit PV-stuk  </w:t>
      </w:r>
    </w:p>
    <w:p w:rsidR="00000000" w:rsidDel="00000000" w:rsidP="00000000" w:rsidRDefault="00000000" w:rsidRPr="00000000" w14:paraId="00000052">
      <w:pPr>
        <w:pageBreakBefore w:val="0"/>
        <w:rPr/>
      </w:pPr>
      <w:r w:rsidDel="00000000" w:rsidR="00000000" w:rsidRPr="00000000">
        <w:rPr/>
        <w:drawing>
          <wp:inline distB="114300" distT="114300" distL="114300" distR="114300">
            <wp:extent cx="3373913" cy="2633119"/>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373913" cy="2633119"/>
                    </a:xfrm>
                    <a:prstGeom prst="rect"/>
                    <a:ln/>
                  </pic:spPr>
                </pic:pic>
              </a:graphicData>
            </a:graphic>
          </wp:inline>
        </w:drawing>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